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1FE7" w:rsidRDefault="001E48E9">
      <w:p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b/>
          <w:color w:val="000000"/>
        </w:rPr>
        <w:t>CRITERI DI VALUTAZIONE DELLA COMMISSIONE ESAMINATRICE PER LE PROVE DEL CONCORSO PUBBLICO, PER ESAMI, PER UN POSTO DI ISTRUTTORE DIRETTIVO DI POLIZIA LOCALE, A TEMPO PIENO ED INDETERMINATO</w:t>
      </w:r>
    </w:p>
    <w:p w:rsidR="00AE1FE7" w:rsidRDefault="00AE1FE7">
      <w:pPr>
        <w:pBdr>
          <w:top w:val="nil"/>
          <w:left w:val="nil"/>
          <w:bottom w:val="nil"/>
          <w:right w:val="nil"/>
          <w:between w:val="nil"/>
        </w:pBdr>
        <w:jc w:val="both"/>
        <w:rPr>
          <w:rFonts w:ascii="Arial" w:eastAsia="Arial" w:hAnsi="Arial" w:cs="Arial"/>
          <w:color w:val="000000"/>
          <w:sz w:val="22"/>
          <w:szCs w:val="22"/>
          <w:u w:val="single"/>
        </w:rPr>
      </w:pPr>
    </w:p>
    <w:p w:rsidR="00AE1FE7" w:rsidRDefault="00AE1FE7">
      <w:pPr>
        <w:pBdr>
          <w:top w:val="nil"/>
          <w:left w:val="nil"/>
          <w:bottom w:val="nil"/>
          <w:right w:val="nil"/>
          <w:between w:val="nil"/>
        </w:pBdr>
        <w:jc w:val="both"/>
        <w:rPr>
          <w:rFonts w:ascii="Arial" w:eastAsia="Arial" w:hAnsi="Arial" w:cs="Arial"/>
          <w:color w:val="000000"/>
          <w:sz w:val="22"/>
          <w:szCs w:val="22"/>
          <w:u w:val="single"/>
        </w:rPr>
      </w:pPr>
    </w:p>
    <w:p w:rsidR="00AE1FE7" w:rsidRDefault="001E48E9">
      <w:pPr>
        <w:pBdr>
          <w:top w:val="nil"/>
          <w:left w:val="nil"/>
          <w:bottom w:val="nil"/>
          <w:right w:val="nil"/>
          <w:between w:val="nil"/>
        </w:pBdr>
        <w:jc w:val="center"/>
        <w:rPr>
          <w:rFonts w:ascii="Arial" w:eastAsia="Arial" w:hAnsi="Arial" w:cs="Arial"/>
          <w:color w:val="000000"/>
          <w:sz w:val="22"/>
          <w:szCs w:val="22"/>
        </w:rPr>
      </w:pPr>
      <w:r>
        <w:rPr>
          <w:rFonts w:ascii="Arial" w:eastAsia="Arial" w:hAnsi="Arial" w:cs="Arial"/>
          <w:color w:val="000000"/>
          <w:sz w:val="22"/>
          <w:szCs w:val="22"/>
        </w:rPr>
        <w:t>Estratto del verbale della Commissione esaminatrice n°1 del 03.02.</w:t>
      </w:r>
      <w:r>
        <w:rPr>
          <w:rFonts w:ascii="Arial" w:eastAsia="Arial" w:hAnsi="Arial" w:cs="Arial"/>
          <w:color w:val="000000"/>
          <w:sz w:val="22"/>
          <w:szCs w:val="22"/>
        </w:rPr>
        <w:t>2021</w:t>
      </w:r>
    </w:p>
    <w:p w:rsidR="00AE1FE7" w:rsidRDefault="00AE1FE7">
      <w:pPr>
        <w:pBdr>
          <w:top w:val="nil"/>
          <w:left w:val="nil"/>
          <w:bottom w:val="nil"/>
          <w:right w:val="nil"/>
          <w:between w:val="nil"/>
        </w:pBdr>
        <w:jc w:val="both"/>
        <w:rPr>
          <w:rFonts w:ascii="Arial" w:eastAsia="Arial" w:hAnsi="Arial" w:cs="Arial"/>
          <w:color w:val="000000"/>
          <w:sz w:val="22"/>
          <w:szCs w:val="22"/>
        </w:rPr>
      </w:pPr>
    </w:p>
    <w:p w:rsidR="00AE1FE7" w:rsidRDefault="00AE1FE7">
      <w:pPr>
        <w:pBdr>
          <w:top w:val="nil"/>
          <w:left w:val="nil"/>
          <w:bottom w:val="nil"/>
          <w:right w:val="nil"/>
          <w:between w:val="nil"/>
        </w:pBdr>
        <w:spacing w:line="276" w:lineRule="auto"/>
        <w:rPr>
          <w:rFonts w:ascii="Arial" w:eastAsia="Arial" w:hAnsi="Arial" w:cs="Arial"/>
          <w:color w:val="000000"/>
        </w:rPr>
      </w:pPr>
    </w:p>
    <w:p w:rsidR="00AE1FE7" w:rsidRDefault="001E48E9">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Come previsto dal bando di concorso per le  prove </w:t>
      </w:r>
      <w:r>
        <w:rPr>
          <w:rFonts w:ascii="Arial" w:eastAsia="Arial" w:hAnsi="Arial" w:cs="Arial"/>
        </w:rPr>
        <w:t>d'esame</w:t>
      </w:r>
      <w:r>
        <w:rPr>
          <w:rFonts w:ascii="Arial" w:eastAsia="Arial" w:hAnsi="Arial" w:cs="Arial"/>
          <w:color w:val="000000"/>
        </w:rPr>
        <w:t>, la Commissione ricorda</w:t>
      </w:r>
      <w:r>
        <w:rPr>
          <w:rFonts w:ascii="Arial" w:eastAsia="Arial" w:hAnsi="Arial" w:cs="Arial"/>
        </w:rPr>
        <w:t xml:space="preserve"> e stabilisce</w:t>
      </w:r>
      <w:r>
        <w:rPr>
          <w:rFonts w:ascii="Arial" w:eastAsia="Arial" w:hAnsi="Arial" w:cs="Arial"/>
          <w:color w:val="000000"/>
        </w:rPr>
        <w:t xml:space="preserve"> quanto</w:t>
      </w:r>
      <w:r>
        <w:rPr>
          <w:rFonts w:ascii="Arial" w:eastAsia="Arial" w:hAnsi="Arial" w:cs="Arial"/>
        </w:rPr>
        <w:t xml:space="preserve"> </w:t>
      </w:r>
      <w:r>
        <w:rPr>
          <w:rFonts w:ascii="Arial" w:eastAsia="Arial" w:hAnsi="Arial" w:cs="Arial"/>
          <w:color w:val="000000"/>
        </w:rPr>
        <w:t>segue:</w:t>
      </w:r>
    </w:p>
    <w:p w:rsidR="00AE1FE7" w:rsidRDefault="00AE1FE7">
      <w:pPr>
        <w:pBdr>
          <w:top w:val="nil"/>
          <w:left w:val="nil"/>
          <w:bottom w:val="nil"/>
          <w:right w:val="nil"/>
          <w:between w:val="nil"/>
        </w:pBdr>
        <w:spacing w:line="276" w:lineRule="auto"/>
        <w:rPr>
          <w:rFonts w:ascii="Arial" w:eastAsia="Arial" w:hAnsi="Arial" w:cs="Arial"/>
          <w:color w:val="000000"/>
        </w:rPr>
      </w:pPr>
    </w:p>
    <w:p w:rsidR="00AE1FE7" w:rsidRDefault="001E48E9">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color w:val="000000"/>
        </w:rPr>
        <w:t>Prima prova scritta</w:t>
      </w:r>
    </w:p>
    <w:p w:rsidR="00AE1FE7" w:rsidRDefault="001E48E9">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la prima prova scritta potrà consistere, a scelta della Commissione, nello svolgimento di un elaborato, nella risposta sintetica a quesiti o in test a risposta multipla, volti ad accertare la conoscenza delle seguenti materie:</w:t>
      </w:r>
    </w:p>
    <w:p w:rsidR="00AE1FE7" w:rsidRDefault="001E48E9">
      <w:pPr>
        <w:numPr>
          <w:ilvl w:val="0"/>
          <w:numId w:val="1"/>
        </w:numPr>
        <w:pBdr>
          <w:top w:val="nil"/>
          <w:left w:val="nil"/>
          <w:bottom w:val="nil"/>
          <w:right w:val="nil"/>
          <w:between w:val="nil"/>
        </w:pBdr>
        <w:jc w:val="both"/>
        <w:rPr>
          <w:color w:val="000000"/>
        </w:rPr>
      </w:pPr>
      <w:r>
        <w:rPr>
          <w:rFonts w:ascii="Arial" w:eastAsia="Arial" w:hAnsi="Arial" w:cs="Arial"/>
          <w:color w:val="000000"/>
        </w:rPr>
        <w:t>Testo unico delle leggi sull’</w:t>
      </w:r>
      <w:r>
        <w:rPr>
          <w:rFonts w:ascii="Arial" w:eastAsia="Arial" w:hAnsi="Arial" w:cs="Arial"/>
          <w:color w:val="000000"/>
        </w:rPr>
        <w:t>ordinamento degli enti locali (D.Lgs. 267/2000 e ss.mm.ii.)</w:t>
      </w:r>
    </w:p>
    <w:p w:rsidR="00AE1FE7" w:rsidRDefault="001E48E9">
      <w:pPr>
        <w:numPr>
          <w:ilvl w:val="0"/>
          <w:numId w:val="1"/>
        </w:numPr>
        <w:pBdr>
          <w:top w:val="nil"/>
          <w:left w:val="nil"/>
          <w:bottom w:val="nil"/>
          <w:right w:val="nil"/>
          <w:between w:val="nil"/>
        </w:pBdr>
        <w:jc w:val="both"/>
        <w:rPr>
          <w:color w:val="000000"/>
        </w:rPr>
      </w:pPr>
      <w:r>
        <w:rPr>
          <w:rFonts w:ascii="Arial" w:eastAsia="Arial" w:hAnsi="Arial" w:cs="Arial"/>
          <w:color w:val="000000"/>
        </w:rPr>
        <w:t>Elementi di diritto costituzionale</w:t>
      </w:r>
    </w:p>
    <w:p w:rsidR="00AE1FE7" w:rsidRDefault="001E48E9">
      <w:pPr>
        <w:numPr>
          <w:ilvl w:val="0"/>
          <w:numId w:val="1"/>
        </w:numPr>
        <w:pBdr>
          <w:top w:val="nil"/>
          <w:left w:val="nil"/>
          <w:bottom w:val="nil"/>
          <w:right w:val="nil"/>
          <w:between w:val="nil"/>
        </w:pBdr>
        <w:jc w:val="both"/>
        <w:rPr>
          <w:color w:val="000000"/>
        </w:rPr>
      </w:pPr>
      <w:r>
        <w:rPr>
          <w:rFonts w:ascii="Arial" w:eastAsia="Arial" w:hAnsi="Arial" w:cs="Arial"/>
          <w:color w:val="000000"/>
        </w:rPr>
        <w:t>Norme in materia di procedimento amministrativo e diritto di accesso ai documenti amministrativi (L.241/90 e ss.mm.ii.)</w:t>
      </w:r>
    </w:p>
    <w:p w:rsidR="00AE1FE7" w:rsidRDefault="001E48E9">
      <w:pPr>
        <w:numPr>
          <w:ilvl w:val="0"/>
          <w:numId w:val="1"/>
        </w:numPr>
        <w:pBdr>
          <w:top w:val="nil"/>
          <w:left w:val="nil"/>
          <w:bottom w:val="nil"/>
          <w:right w:val="nil"/>
          <w:between w:val="nil"/>
        </w:pBdr>
        <w:jc w:val="both"/>
        <w:rPr>
          <w:color w:val="000000"/>
        </w:rPr>
      </w:pPr>
      <w:r>
        <w:rPr>
          <w:rFonts w:ascii="Arial" w:eastAsia="Arial" w:hAnsi="Arial" w:cs="Arial"/>
          <w:color w:val="000000"/>
        </w:rPr>
        <w:t>Elementi di diritto penale e di diritto p</w:t>
      </w:r>
      <w:r>
        <w:rPr>
          <w:rFonts w:ascii="Arial" w:eastAsia="Arial" w:hAnsi="Arial" w:cs="Arial"/>
          <w:color w:val="000000"/>
        </w:rPr>
        <w:t>rocessuale penale (quest’ultimo con particolare riferimento alle attività di polizia giudiziaria)</w:t>
      </w:r>
    </w:p>
    <w:p w:rsidR="00AE1FE7" w:rsidRDefault="001E48E9">
      <w:pPr>
        <w:numPr>
          <w:ilvl w:val="0"/>
          <w:numId w:val="1"/>
        </w:numPr>
        <w:pBdr>
          <w:top w:val="nil"/>
          <w:left w:val="nil"/>
          <w:bottom w:val="nil"/>
          <w:right w:val="nil"/>
          <w:between w:val="nil"/>
        </w:pBdr>
        <w:jc w:val="both"/>
        <w:rPr>
          <w:color w:val="000000"/>
        </w:rPr>
      </w:pPr>
      <w:r>
        <w:rPr>
          <w:rFonts w:ascii="Arial" w:eastAsia="Arial" w:hAnsi="Arial" w:cs="Arial"/>
          <w:color w:val="000000"/>
        </w:rPr>
        <w:t>Normativa in materia di polizia edilizia, commercio e attività produttive, ambiente e sicurezza sui luoghi di lavoro</w:t>
      </w:r>
    </w:p>
    <w:p w:rsidR="00AE1FE7" w:rsidRDefault="001E48E9">
      <w:pPr>
        <w:numPr>
          <w:ilvl w:val="0"/>
          <w:numId w:val="1"/>
        </w:numPr>
        <w:pBdr>
          <w:top w:val="nil"/>
          <w:left w:val="nil"/>
          <w:bottom w:val="nil"/>
          <w:right w:val="nil"/>
          <w:between w:val="nil"/>
        </w:pBdr>
        <w:jc w:val="both"/>
        <w:rPr>
          <w:color w:val="000000"/>
        </w:rPr>
      </w:pPr>
      <w:r>
        <w:rPr>
          <w:rFonts w:ascii="Arial" w:eastAsia="Arial" w:hAnsi="Arial" w:cs="Arial"/>
          <w:color w:val="000000"/>
        </w:rPr>
        <w:t>Codice della strada e regolamento di esec</w:t>
      </w:r>
      <w:r>
        <w:rPr>
          <w:rFonts w:ascii="Arial" w:eastAsia="Arial" w:hAnsi="Arial" w:cs="Arial"/>
          <w:color w:val="000000"/>
        </w:rPr>
        <w:t>uzione e di attuazione del codice della strada e leggi complementari</w:t>
      </w:r>
    </w:p>
    <w:p w:rsidR="00AE1FE7" w:rsidRDefault="001E48E9">
      <w:pPr>
        <w:numPr>
          <w:ilvl w:val="0"/>
          <w:numId w:val="1"/>
        </w:numPr>
        <w:pBdr>
          <w:top w:val="nil"/>
          <w:left w:val="nil"/>
          <w:bottom w:val="nil"/>
          <w:right w:val="nil"/>
          <w:between w:val="nil"/>
        </w:pBdr>
        <w:jc w:val="both"/>
        <w:rPr>
          <w:color w:val="000000"/>
        </w:rPr>
      </w:pPr>
      <w:r>
        <w:rPr>
          <w:rFonts w:ascii="Arial" w:eastAsia="Arial" w:hAnsi="Arial" w:cs="Arial"/>
          <w:color w:val="000000"/>
        </w:rPr>
        <w:t>Procedimento sanzionatorio amministrativo (L. 689/1981);</w:t>
      </w:r>
    </w:p>
    <w:p w:rsidR="00AE1FE7" w:rsidRDefault="001E48E9">
      <w:pPr>
        <w:numPr>
          <w:ilvl w:val="0"/>
          <w:numId w:val="1"/>
        </w:numPr>
        <w:pBdr>
          <w:top w:val="nil"/>
          <w:left w:val="nil"/>
          <w:bottom w:val="nil"/>
          <w:right w:val="nil"/>
          <w:between w:val="nil"/>
        </w:pBdr>
        <w:jc w:val="both"/>
        <w:rPr>
          <w:color w:val="000000"/>
        </w:rPr>
      </w:pPr>
      <w:r>
        <w:rPr>
          <w:rFonts w:ascii="Arial" w:eastAsia="Arial" w:hAnsi="Arial" w:cs="Arial"/>
          <w:color w:val="000000"/>
        </w:rPr>
        <w:t>Testo Unico di Pubblica Sicurezza e relativo Regolamento di esecuzione;</w:t>
      </w:r>
    </w:p>
    <w:p w:rsidR="00AE1FE7" w:rsidRDefault="001E48E9">
      <w:pPr>
        <w:numPr>
          <w:ilvl w:val="0"/>
          <w:numId w:val="1"/>
        </w:numPr>
        <w:pBdr>
          <w:top w:val="nil"/>
          <w:left w:val="nil"/>
          <w:bottom w:val="nil"/>
          <w:right w:val="nil"/>
          <w:between w:val="nil"/>
        </w:pBdr>
        <w:jc w:val="both"/>
        <w:rPr>
          <w:color w:val="000000"/>
        </w:rPr>
      </w:pPr>
      <w:r>
        <w:rPr>
          <w:rFonts w:ascii="Arial" w:eastAsia="Arial" w:hAnsi="Arial" w:cs="Arial"/>
          <w:color w:val="000000"/>
        </w:rPr>
        <w:t>Normativa nazionale e regionale della Sardegna in materia di polizia locale;</w:t>
      </w:r>
    </w:p>
    <w:p w:rsidR="00AE1FE7" w:rsidRDefault="001E48E9">
      <w:pPr>
        <w:numPr>
          <w:ilvl w:val="0"/>
          <w:numId w:val="1"/>
        </w:numPr>
        <w:pBdr>
          <w:top w:val="nil"/>
          <w:left w:val="nil"/>
          <w:bottom w:val="nil"/>
          <w:right w:val="nil"/>
          <w:between w:val="nil"/>
        </w:pBdr>
        <w:jc w:val="both"/>
        <w:rPr>
          <w:color w:val="000000"/>
        </w:rPr>
      </w:pPr>
      <w:r>
        <w:rPr>
          <w:rFonts w:ascii="Arial" w:eastAsia="Arial" w:hAnsi="Arial" w:cs="Arial"/>
          <w:color w:val="000000"/>
        </w:rPr>
        <w:t>Ordinamento delle autonomie locali;</w:t>
      </w:r>
    </w:p>
    <w:p w:rsidR="00AE1FE7" w:rsidRDefault="001E48E9">
      <w:pPr>
        <w:numPr>
          <w:ilvl w:val="0"/>
          <w:numId w:val="1"/>
        </w:numPr>
        <w:pBdr>
          <w:top w:val="nil"/>
          <w:left w:val="nil"/>
          <w:bottom w:val="nil"/>
          <w:right w:val="nil"/>
          <w:between w:val="nil"/>
        </w:pBdr>
        <w:jc w:val="both"/>
        <w:rPr>
          <w:color w:val="000000"/>
        </w:rPr>
      </w:pPr>
      <w:r>
        <w:rPr>
          <w:rFonts w:ascii="Arial" w:eastAsia="Arial" w:hAnsi="Arial" w:cs="Arial"/>
          <w:color w:val="000000"/>
        </w:rPr>
        <w:t xml:space="preserve"> Normativa in materia di appalti e di contratti pubblici;</w:t>
      </w:r>
    </w:p>
    <w:p w:rsidR="00AE1FE7" w:rsidRDefault="001E48E9">
      <w:pPr>
        <w:numPr>
          <w:ilvl w:val="0"/>
          <w:numId w:val="1"/>
        </w:numPr>
        <w:pBdr>
          <w:top w:val="nil"/>
          <w:left w:val="nil"/>
          <w:bottom w:val="nil"/>
          <w:right w:val="nil"/>
          <w:between w:val="nil"/>
        </w:pBdr>
        <w:jc w:val="both"/>
        <w:rPr>
          <w:color w:val="000000"/>
        </w:rPr>
      </w:pPr>
      <w:r>
        <w:rPr>
          <w:rFonts w:ascii="Arial" w:eastAsia="Arial" w:hAnsi="Arial" w:cs="Arial"/>
          <w:color w:val="000000"/>
        </w:rPr>
        <w:t xml:space="preserve"> Disciplina d</w:t>
      </w:r>
      <w:r>
        <w:rPr>
          <w:rFonts w:ascii="Arial" w:eastAsia="Arial" w:hAnsi="Arial" w:cs="Arial"/>
          <w:color w:val="000000"/>
        </w:rPr>
        <w:t>el rapporto di lavoro del personale dipendente degli enti locali, con particolare riferimento al personale di polizia locale;</w:t>
      </w:r>
    </w:p>
    <w:p w:rsidR="00AE1FE7" w:rsidRDefault="001E48E9">
      <w:pPr>
        <w:numPr>
          <w:ilvl w:val="0"/>
          <w:numId w:val="1"/>
        </w:numPr>
        <w:pBdr>
          <w:top w:val="nil"/>
          <w:left w:val="nil"/>
          <w:bottom w:val="nil"/>
          <w:right w:val="nil"/>
          <w:between w:val="nil"/>
        </w:pBdr>
        <w:jc w:val="both"/>
        <w:rPr>
          <w:color w:val="000000"/>
        </w:rPr>
      </w:pPr>
      <w:r>
        <w:rPr>
          <w:rFonts w:ascii="Arial" w:eastAsia="Arial" w:hAnsi="Arial" w:cs="Arial"/>
          <w:color w:val="000000"/>
        </w:rPr>
        <w:t>Normativa in materia di tutela della riservatezza dei dati personali, in materia di anticorruzione, trasparenza, codice disciplina</w:t>
      </w:r>
      <w:r>
        <w:rPr>
          <w:rFonts w:ascii="Arial" w:eastAsia="Arial" w:hAnsi="Arial" w:cs="Arial"/>
          <w:color w:val="000000"/>
        </w:rPr>
        <w:t>re e codice di comportamento dei dipendenti pubblici;</w:t>
      </w:r>
    </w:p>
    <w:p w:rsidR="00AE1FE7" w:rsidRDefault="00AE1FE7">
      <w:pPr>
        <w:pBdr>
          <w:top w:val="nil"/>
          <w:left w:val="nil"/>
          <w:bottom w:val="nil"/>
          <w:right w:val="nil"/>
          <w:between w:val="nil"/>
        </w:pBdr>
        <w:ind w:left="360"/>
        <w:jc w:val="both"/>
        <w:rPr>
          <w:rFonts w:ascii="Arial" w:eastAsia="Arial" w:hAnsi="Arial" w:cs="Arial"/>
          <w:color w:val="000000"/>
        </w:rPr>
      </w:pPr>
    </w:p>
    <w:p w:rsidR="00AE1FE7" w:rsidRDefault="001E48E9">
      <w:pPr>
        <w:pBdr>
          <w:top w:val="nil"/>
          <w:left w:val="nil"/>
          <w:bottom w:val="nil"/>
          <w:right w:val="nil"/>
          <w:between w:val="nil"/>
        </w:pBdr>
        <w:jc w:val="both"/>
        <w:rPr>
          <w:rFonts w:ascii="Arial" w:eastAsia="Arial" w:hAnsi="Arial" w:cs="Arial"/>
          <w:color w:val="000000"/>
        </w:rPr>
      </w:pPr>
      <w:r>
        <w:rPr>
          <w:rFonts w:ascii="Arial" w:eastAsia="Arial" w:hAnsi="Arial" w:cs="Arial"/>
          <w:b/>
          <w:color w:val="000000"/>
        </w:rPr>
        <w:t>Seconda prova scritta</w:t>
      </w:r>
    </w:p>
    <w:p w:rsidR="00AE1FE7" w:rsidRDefault="001E48E9">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redazione di provvedimenti, atti, prospetti o relazioni inerenti agli argomenti previsti per la prima prova scritta.</w:t>
      </w:r>
    </w:p>
    <w:p w:rsidR="00AE1FE7" w:rsidRDefault="00AE1FE7">
      <w:pPr>
        <w:pBdr>
          <w:top w:val="nil"/>
          <w:left w:val="nil"/>
          <w:bottom w:val="nil"/>
          <w:right w:val="nil"/>
          <w:between w:val="nil"/>
        </w:pBdr>
        <w:spacing w:line="276" w:lineRule="auto"/>
        <w:rPr>
          <w:rFonts w:ascii="Arial" w:eastAsia="Arial" w:hAnsi="Arial" w:cs="Arial"/>
          <w:color w:val="000000"/>
        </w:rPr>
      </w:pPr>
    </w:p>
    <w:p w:rsidR="00AE1FE7" w:rsidRDefault="001E48E9">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color w:val="000000"/>
        </w:rPr>
        <w:t>Prova orale</w:t>
      </w:r>
    </w:p>
    <w:p w:rsidR="00AE1FE7" w:rsidRDefault="001E48E9">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la prova orale è costituita da un colloquio sulle materie oggetto delle prove scritte. In sede di prova orale verrà accertata </w:t>
      </w:r>
      <w:r>
        <w:rPr>
          <w:rFonts w:ascii="Arial" w:eastAsia="Arial" w:hAnsi="Arial" w:cs="Arial"/>
          <w:color w:val="000000"/>
        </w:rPr>
        <w:t>inoltre la conoscenza della lingua inglese e dei sistemi informatici (categoria hardware, software, reti di computer, applicazioni).</w:t>
      </w:r>
    </w:p>
    <w:p w:rsidR="00AE1FE7" w:rsidRDefault="00AE1FE7">
      <w:pPr>
        <w:pBdr>
          <w:top w:val="nil"/>
          <w:left w:val="nil"/>
          <w:bottom w:val="nil"/>
          <w:right w:val="nil"/>
          <w:between w:val="nil"/>
        </w:pBdr>
        <w:spacing w:line="276" w:lineRule="auto"/>
        <w:jc w:val="both"/>
        <w:rPr>
          <w:rFonts w:ascii="Arial" w:eastAsia="Arial" w:hAnsi="Arial" w:cs="Arial"/>
          <w:color w:val="000000"/>
        </w:rPr>
      </w:pPr>
    </w:p>
    <w:p w:rsidR="00AE1FE7" w:rsidRDefault="001E48E9">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La Commissione stabilisce che la prima prova scritta sarà costituita da n. 5 quesiti a risposta sintetica, per ognuno dei questionari oggetto della terna. </w:t>
      </w:r>
    </w:p>
    <w:p w:rsidR="00AE1FE7" w:rsidRDefault="00AE1FE7">
      <w:pPr>
        <w:pBdr>
          <w:top w:val="nil"/>
          <w:left w:val="nil"/>
          <w:bottom w:val="nil"/>
          <w:right w:val="nil"/>
          <w:between w:val="nil"/>
        </w:pBdr>
        <w:spacing w:line="276" w:lineRule="auto"/>
        <w:jc w:val="both"/>
        <w:rPr>
          <w:rFonts w:ascii="Arial" w:eastAsia="Arial" w:hAnsi="Arial" w:cs="Arial"/>
          <w:color w:val="000000"/>
        </w:rPr>
      </w:pPr>
    </w:p>
    <w:p w:rsidR="00AE1FE7" w:rsidRDefault="001E48E9">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La Commissione prende atto che, come previsto dal bando di concorso, i punteggi massimi da attribui</w:t>
      </w:r>
      <w:r>
        <w:rPr>
          <w:rFonts w:ascii="Arial" w:eastAsia="Arial" w:hAnsi="Arial" w:cs="Arial"/>
          <w:color w:val="000000"/>
        </w:rPr>
        <w:t>re alle prove sono i seguenti:</w:t>
      </w:r>
    </w:p>
    <w:p w:rsidR="00AE1FE7" w:rsidRDefault="001E48E9">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color w:val="000000"/>
        </w:rPr>
        <w:lastRenderedPageBreak/>
        <w:t>Prove scritte:</w:t>
      </w:r>
    </w:p>
    <w:p w:rsidR="00AE1FE7" w:rsidRDefault="001E48E9">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punti 30/30 per ogni prova</w:t>
      </w:r>
    </w:p>
    <w:p w:rsidR="00AE1FE7" w:rsidRDefault="00AE1FE7">
      <w:pPr>
        <w:pBdr>
          <w:top w:val="nil"/>
          <w:left w:val="nil"/>
          <w:bottom w:val="nil"/>
          <w:right w:val="nil"/>
          <w:between w:val="nil"/>
        </w:pBdr>
        <w:spacing w:line="276" w:lineRule="auto"/>
        <w:rPr>
          <w:rFonts w:ascii="Arial" w:eastAsia="Arial" w:hAnsi="Arial" w:cs="Arial"/>
          <w:color w:val="000000"/>
        </w:rPr>
      </w:pPr>
    </w:p>
    <w:p w:rsidR="00AE1FE7" w:rsidRDefault="001E48E9">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color w:val="000000"/>
        </w:rPr>
        <w:t xml:space="preserve">Prova orale: </w:t>
      </w:r>
    </w:p>
    <w:p w:rsidR="00AE1FE7" w:rsidRDefault="001E48E9">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punti 30/30</w:t>
      </w:r>
    </w:p>
    <w:p w:rsidR="00AE1FE7" w:rsidRDefault="00AE1FE7">
      <w:pPr>
        <w:pBdr>
          <w:top w:val="nil"/>
          <w:left w:val="nil"/>
          <w:bottom w:val="nil"/>
          <w:right w:val="nil"/>
          <w:between w:val="nil"/>
        </w:pBdr>
        <w:spacing w:line="276" w:lineRule="auto"/>
        <w:rPr>
          <w:rFonts w:ascii="Arial" w:eastAsia="Arial" w:hAnsi="Arial" w:cs="Arial"/>
          <w:color w:val="000000"/>
        </w:rPr>
      </w:pPr>
    </w:p>
    <w:p w:rsidR="00AE1FE7" w:rsidRDefault="001E48E9">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per un totale di 90 punti. </w:t>
      </w:r>
    </w:p>
    <w:p w:rsidR="00AE1FE7" w:rsidRDefault="00AE1FE7">
      <w:pPr>
        <w:pBdr>
          <w:top w:val="nil"/>
          <w:left w:val="nil"/>
          <w:bottom w:val="nil"/>
          <w:right w:val="nil"/>
          <w:between w:val="nil"/>
        </w:pBdr>
        <w:spacing w:line="276" w:lineRule="auto"/>
        <w:rPr>
          <w:rFonts w:ascii="Arial" w:eastAsia="Arial" w:hAnsi="Arial" w:cs="Arial"/>
          <w:color w:val="000000"/>
        </w:rPr>
      </w:pPr>
    </w:p>
    <w:p w:rsidR="00AE1FE7" w:rsidRDefault="001E48E9">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Per superare ogni prova occorre il punteggio di almeno 21/30.</w:t>
      </w:r>
    </w:p>
    <w:p w:rsidR="00AE1FE7" w:rsidRDefault="00AE1FE7">
      <w:pPr>
        <w:pBdr>
          <w:top w:val="nil"/>
          <w:left w:val="nil"/>
          <w:bottom w:val="nil"/>
          <w:right w:val="nil"/>
          <w:between w:val="nil"/>
        </w:pBdr>
        <w:spacing w:line="276" w:lineRule="auto"/>
        <w:rPr>
          <w:rFonts w:ascii="Arial" w:eastAsia="Arial" w:hAnsi="Arial" w:cs="Arial"/>
          <w:color w:val="000000"/>
        </w:rPr>
      </w:pPr>
    </w:p>
    <w:p w:rsidR="00AE1FE7" w:rsidRDefault="001E48E9">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La Commissione definisce, inoltre, i criteri e le modalità di v</w:t>
      </w:r>
      <w:r>
        <w:rPr>
          <w:rFonts w:ascii="Arial" w:eastAsia="Arial" w:hAnsi="Arial" w:cs="Arial"/>
          <w:color w:val="000000"/>
        </w:rPr>
        <w:t>alutazione delle prove d'esame, così come previsto dall'art. 67 del Titolo VII del regolamento sull'ordinamento degli uffici e dei servizi del Comune:</w:t>
      </w:r>
    </w:p>
    <w:p w:rsidR="00AE1FE7" w:rsidRDefault="00AE1FE7">
      <w:pPr>
        <w:pBdr>
          <w:top w:val="nil"/>
          <w:left w:val="nil"/>
          <w:bottom w:val="nil"/>
          <w:right w:val="nil"/>
          <w:between w:val="nil"/>
        </w:pBdr>
        <w:spacing w:line="276" w:lineRule="auto"/>
        <w:jc w:val="both"/>
        <w:rPr>
          <w:rFonts w:ascii="Arial" w:eastAsia="Arial" w:hAnsi="Arial" w:cs="Arial"/>
          <w:color w:val="000000"/>
        </w:rPr>
      </w:pPr>
    </w:p>
    <w:p w:rsidR="00AE1FE7" w:rsidRDefault="001E48E9">
      <w:pPr>
        <w:numPr>
          <w:ilvl w:val="0"/>
          <w:numId w:val="2"/>
        </w:numPr>
        <w:pBdr>
          <w:top w:val="nil"/>
          <w:left w:val="nil"/>
          <w:bottom w:val="nil"/>
          <w:right w:val="nil"/>
          <w:between w:val="nil"/>
        </w:pBdr>
        <w:spacing w:line="276" w:lineRule="auto"/>
        <w:jc w:val="both"/>
        <w:rPr>
          <w:color w:val="000000"/>
        </w:rPr>
      </w:pPr>
      <w:r>
        <w:rPr>
          <w:rFonts w:ascii="Arial" w:eastAsia="Arial" w:hAnsi="Arial" w:cs="Arial"/>
          <w:b/>
          <w:color w:val="000000"/>
        </w:rPr>
        <w:t>Prima prova scritta</w:t>
      </w:r>
      <w:r>
        <w:rPr>
          <w:rFonts w:ascii="Arial" w:eastAsia="Arial" w:hAnsi="Arial" w:cs="Arial"/>
          <w:color w:val="000000"/>
        </w:rPr>
        <w:t>: si definisce che i 5 quesiti hanno tutti parimenti valore. Pertanto, il punteggio massimo a disposizione della Commissione per la valutazione di tale prova, pari a 30 punti, verrà equamente distribuito tra i cinque quesiti, per un massimo attribuibile ad</w:t>
      </w:r>
      <w:r>
        <w:rPr>
          <w:rFonts w:ascii="Arial" w:eastAsia="Arial" w:hAnsi="Arial" w:cs="Arial"/>
          <w:color w:val="000000"/>
        </w:rPr>
        <w:t xml:space="preserve"> ogni completa risposta pari a 6 punti. La Commissione stabilisce che i candidati dovranno redigere l'elaborato e rendere le risposte ai quesiti che verranno posti, nell'ambito di uno spazio massimo predeterminato dalla Commissione pari a 2 fogli protocoll</w:t>
      </w:r>
      <w:r>
        <w:rPr>
          <w:rFonts w:ascii="Arial" w:eastAsia="Arial" w:hAnsi="Arial" w:cs="Arial"/>
          <w:color w:val="000000"/>
        </w:rPr>
        <w:t>o.</w:t>
      </w:r>
    </w:p>
    <w:p w:rsidR="00AE1FE7" w:rsidRDefault="001E48E9">
      <w:pPr>
        <w:numPr>
          <w:ilvl w:val="0"/>
          <w:numId w:val="2"/>
        </w:numPr>
        <w:pBdr>
          <w:top w:val="nil"/>
          <w:left w:val="nil"/>
          <w:bottom w:val="nil"/>
          <w:right w:val="nil"/>
          <w:between w:val="nil"/>
        </w:pBdr>
        <w:spacing w:line="276" w:lineRule="auto"/>
        <w:jc w:val="both"/>
        <w:rPr>
          <w:color w:val="000000"/>
        </w:rPr>
      </w:pPr>
      <w:r>
        <w:rPr>
          <w:rFonts w:ascii="Arial" w:eastAsia="Arial" w:hAnsi="Arial" w:cs="Arial"/>
          <w:b/>
          <w:color w:val="000000"/>
        </w:rPr>
        <w:t>Seconda prova scritta</w:t>
      </w:r>
      <w:r>
        <w:rPr>
          <w:rFonts w:ascii="Arial" w:eastAsia="Arial" w:hAnsi="Arial" w:cs="Arial"/>
          <w:color w:val="000000"/>
        </w:rPr>
        <w:t xml:space="preserve">: sarà costituita da un'unica trattazione, 1 elaborato scritto. Il punteggio massimo attribuibile a disposizione della Commissione per la valutazione di tale prova è complessivamente pari a 30 punti. La Commissione stabilisce che i </w:t>
      </w:r>
      <w:r>
        <w:rPr>
          <w:rFonts w:ascii="Arial" w:eastAsia="Arial" w:hAnsi="Arial" w:cs="Arial"/>
          <w:color w:val="000000"/>
        </w:rPr>
        <w:t>candidati dovranno redigere l'elaborato nell'ambito di uno spazio massimo predeterminato dalla Commissione pari a 1 foglio protocollo.</w:t>
      </w:r>
    </w:p>
    <w:p w:rsidR="00AE1FE7" w:rsidRDefault="00AE1FE7">
      <w:pPr>
        <w:pBdr>
          <w:top w:val="nil"/>
          <w:left w:val="nil"/>
          <w:bottom w:val="nil"/>
          <w:right w:val="nil"/>
          <w:between w:val="nil"/>
        </w:pBdr>
        <w:spacing w:line="276" w:lineRule="auto"/>
        <w:ind w:left="720"/>
        <w:rPr>
          <w:rFonts w:ascii="Arial" w:eastAsia="Arial" w:hAnsi="Arial" w:cs="Arial"/>
          <w:color w:val="000000"/>
        </w:rPr>
      </w:pPr>
    </w:p>
    <w:p w:rsidR="00AE1FE7" w:rsidRDefault="00AE1FE7">
      <w:pPr>
        <w:pBdr>
          <w:top w:val="nil"/>
          <w:left w:val="nil"/>
          <w:bottom w:val="nil"/>
          <w:right w:val="nil"/>
          <w:between w:val="nil"/>
        </w:pBdr>
        <w:spacing w:line="276" w:lineRule="auto"/>
        <w:ind w:left="720"/>
        <w:rPr>
          <w:rFonts w:ascii="Arial" w:eastAsia="Arial" w:hAnsi="Arial" w:cs="Arial"/>
          <w:color w:val="000000"/>
        </w:rPr>
      </w:pPr>
    </w:p>
    <w:p w:rsidR="00AE1FE7" w:rsidRDefault="001E48E9">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b/>
          <w:color w:val="000000"/>
        </w:rPr>
        <w:t>CRITERI DI VALUTAZIONE DELLE PROVE CONCORSUALI</w:t>
      </w:r>
    </w:p>
    <w:p w:rsidR="00AE1FE7" w:rsidRDefault="001E48E9">
      <w:pPr>
        <w:numPr>
          <w:ilvl w:val="0"/>
          <w:numId w:val="2"/>
        </w:numPr>
        <w:pBdr>
          <w:top w:val="nil"/>
          <w:left w:val="nil"/>
          <w:bottom w:val="nil"/>
          <w:right w:val="nil"/>
          <w:between w:val="nil"/>
        </w:pBdr>
        <w:spacing w:line="276" w:lineRule="auto"/>
        <w:jc w:val="both"/>
        <w:rPr>
          <w:color w:val="000000"/>
        </w:rPr>
      </w:pPr>
      <w:r>
        <w:rPr>
          <w:rFonts w:ascii="Arial" w:eastAsia="Arial" w:hAnsi="Arial" w:cs="Arial"/>
          <w:color w:val="000000"/>
        </w:rPr>
        <w:t xml:space="preserve">La </w:t>
      </w:r>
      <w:r>
        <w:rPr>
          <w:rFonts w:ascii="Arial" w:eastAsia="Arial" w:hAnsi="Arial" w:cs="Arial"/>
          <w:b/>
          <w:color w:val="000000"/>
        </w:rPr>
        <w:t>prova scritta</w:t>
      </w:r>
      <w:r>
        <w:rPr>
          <w:rFonts w:ascii="Arial" w:eastAsia="Arial" w:hAnsi="Arial" w:cs="Arial"/>
          <w:color w:val="000000"/>
        </w:rPr>
        <w:t xml:space="preserve"> tende ad identificare il livello di conoscenza degli as</w:t>
      </w:r>
      <w:r>
        <w:rPr>
          <w:rFonts w:ascii="Arial" w:eastAsia="Arial" w:hAnsi="Arial" w:cs="Arial"/>
          <w:color w:val="000000"/>
        </w:rPr>
        <w:t xml:space="preserve">petti dottrinali della materia oggetto della prova che costituisce presupposto indispensabile per porre in essere concretamente l'attività relativa alle funzioni del posto da ricoprire. Inoltre ha lo scopo di accertare la capacità di applicazione concreta </w:t>
      </w:r>
      <w:r>
        <w:rPr>
          <w:rFonts w:ascii="Arial" w:eastAsia="Arial" w:hAnsi="Arial" w:cs="Arial"/>
          <w:color w:val="000000"/>
        </w:rPr>
        <w:t>delle conoscenze teoriche mediante elaborazioni di carattere operativo, riferite ad atti, provvedimenti relativi alla esplicazione delle funzioni del posto messo a concorso, mediante una necessaria connessione della preparazione teorica con quella applicat</w:t>
      </w:r>
      <w:r>
        <w:rPr>
          <w:rFonts w:ascii="Arial" w:eastAsia="Arial" w:hAnsi="Arial" w:cs="Arial"/>
          <w:color w:val="000000"/>
        </w:rPr>
        <w:t xml:space="preserve">iva. </w:t>
      </w:r>
    </w:p>
    <w:p w:rsidR="00AE1FE7" w:rsidRDefault="001E48E9">
      <w:pPr>
        <w:numPr>
          <w:ilvl w:val="0"/>
          <w:numId w:val="2"/>
        </w:numPr>
        <w:pBdr>
          <w:top w:val="nil"/>
          <w:left w:val="nil"/>
          <w:bottom w:val="nil"/>
          <w:right w:val="nil"/>
          <w:between w:val="nil"/>
        </w:pBdr>
        <w:spacing w:line="276" w:lineRule="auto"/>
        <w:jc w:val="both"/>
        <w:rPr>
          <w:color w:val="000000"/>
        </w:rPr>
      </w:pPr>
      <w:r>
        <w:rPr>
          <w:rFonts w:ascii="Arial" w:eastAsia="Arial" w:hAnsi="Arial" w:cs="Arial"/>
          <w:color w:val="000000"/>
        </w:rPr>
        <w:t xml:space="preserve">La </w:t>
      </w:r>
      <w:r>
        <w:rPr>
          <w:rFonts w:ascii="Arial" w:eastAsia="Arial" w:hAnsi="Arial" w:cs="Arial"/>
          <w:b/>
          <w:color w:val="000000"/>
        </w:rPr>
        <w:t>prova orale</w:t>
      </w:r>
      <w:r>
        <w:rPr>
          <w:rFonts w:ascii="Arial" w:eastAsia="Arial" w:hAnsi="Arial" w:cs="Arial"/>
          <w:color w:val="000000"/>
        </w:rPr>
        <w:t xml:space="preserve"> deve mettere in evidenza vari aspetti della materia e tendere a dimostrare il grado di preparazione complessivo del candidato.</w:t>
      </w:r>
    </w:p>
    <w:p w:rsidR="00AE1FE7" w:rsidRDefault="00AE1FE7">
      <w:pPr>
        <w:pBdr>
          <w:top w:val="nil"/>
          <w:left w:val="nil"/>
          <w:bottom w:val="nil"/>
          <w:right w:val="nil"/>
          <w:between w:val="nil"/>
        </w:pBdr>
        <w:spacing w:line="276" w:lineRule="auto"/>
        <w:rPr>
          <w:rFonts w:ascii="Arial" w:eastAsia="Arial" w:hAnsi="Arial" w:cs="Arial"/>
          <w:color w:val="000000"/>
        </w:rPr>
      </w:pPr>
    </w:p>
    <w:p w:rsidR="00AE1FE7" w:rsidRDefault="001E48E9">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La Commissione definisce che, per l'attribuzione del punteggio a disposizione, terrà conto dei seguenti principali criteri di valutazione:</w:t>
      </w:r>
    </w:p>
    <w:p w:rsidR="00AE1FE7" w:rsidRDefault="001E48E9">
      <w:pPr>
        <w:numPr>
          <w:ilvl w:val="0"/>
          <w:numId w:val="2"/>
        </w:numPr>
        <w:pBdr>
          <w:top w:val="nil"/>
          <w:left w:val="nil"/>
          <w:bottom w:val="nil"/>
          <w:right w:val="nil"/>
          <w:between w:val="nil"/>
        </w:pBdr>
        <w:spacing w:line="276" w:lineRule="auto"/>
        <w:jc w:val="both"/>
        <w:rPr>
          <w:color w:val="000000"/>
        </w:rPr>
      </w:pPr>
      <w:r>
        <w:rPr>
          <w:rFonts w:ascii="Arial" w:eastAsia="Arial" w:hAnsi="Arial" w:cs="Arial"/>
          <w:color w:val="000000"/>
        </w:rPr>
        <w:t xml:space="preserve">Capacità espressiva e di sintesi: il criterio mira ad individuare la correttezza nell'esposizione e nel linguaggio e </w:t>
      </w:r>
      <w:r>
        <w:rPr>
          <w:rFonts w:ascii="Arial" w:eastAsia="Arial" w:hAnsi="Arial" w:cs="Arial"/>
          <w:color w:val="000000"/>
        </w:rPr>
        <w:t xml:space="preserve">la capacità di condensare gli argomenti senza pregiudicare la comprensione e la completezza. </w:t>
      </w:r>
    </w:p>
    <w:p w:rsidR="00AE1FE7" w:rsidRDefault="001E48E9">
      <w:pPr>
        <w:numPr>
          <w:ilvl w:val="0"/>
          <w:numId w:val="2"/>
        </w:numPr>
        <w:pBdr>
          <w:top w:val="nil"/>
          <w:left w:val="nil"/>
          <w:bottom w:val="nil"/>
          <w:right w:val="nil"/>
          <w:between w:val="nil"/>
        </w:pBdr>
        <w:spacing w:line="276" w:lineRule="auto"/>
        <w:jc w:val="both"/>
        <w:rPr>
          <w:color w:val="000000"/>
        </w:rPr>
      </w:pPr>
      <w:r>
        <w:rPr>
          <w:rFonts w:ascii="Arial" w:eastAsia="Arial" w:hAnsi="Arial" w:cs="Arial"/>
          <w:color w:val="000000"/>
        </w:rPr>
        <w:t>Conoscenze tecniche e capacità di elaborazione (coerenza - correttezza e qualità del contenuto): il criterio mira ad individuare l'attinenza all'argomento trattat</w:t>
      </w:r>
      <w:r>
        <w:rPr>
          <w:rFonts w:ascii="Arial" w:eastAsia="Arial" w:hAnsi="Arial" w:cs="Arial"/>
          <w:color w:val="000000"/>
        </w:rPr>
        <w:t xml:space="preserve">o, la conoscenza tecnica e la capacità del candidato di elaborare ed esporre gli argomenti. </w:t>
      </w:r>
    </w:p>
    <w:p w:rsidR="00AE1FE7" w:rsidRDefault="001E48E9">
      <w:pPr>
        <w:numPr>
          <w:ilvl w:val="0"/>
          <w:numId w:val="2"/>
        </w:numPr>
        <w:pBdr>
          <w:top w:val="nil"/>
          <w:left w:val="nil"/>
          <w:bottom w:val="nil"/>
          <w:right w:val="nil"/>
          <w:between w:val="nil"/>
        </w:pBdr>
        <w:spacing w:line="276" w:lineRule="auto"/>
        <w:jc w:val="both"/>
        <w:rPr>
          <w:color w:val="000000"/>
        </w:rPr>
      </w:pPr>
      <w:r>
        <w:rPr>
          <w:rFonts w:ascii="Arial" w:eastAsia="Arial" w:hAnsi="Arial" w:cs="Arial"/>
          <w:color w:val="000000"/>
        </w:rPr>
        <w:lastRenderedPageBreak/>
        <w:t>Conoscenze tecniche e capacità di elaborazione (livello di apprendimento): il criterio mira ad individuare la capacità di entrare "a fondo" nell'argomento trattato</w:t>
      </w:r>
      <w:r>
        <w:rPr>
          <w:rFonts w:ascii="Arial" w:eastAsia="Arial" w:hAnsi="Arial" w:cs="Arial"/>
          <w:color w:val="000000"/>
        </w:rPr>
        <w:t xml:space="preserve">. </w:t>
      </w:r>
    </w:p>
    <w:p w:rsidR="00AE1FE7" w:rsidRDefault="00AE1FE7">
      <w:pPr>
        <w:pBdr>
          <w:top w:val="nil"/>
          <w:left w:val="nil"/>
          <w:bottom w:val="nil"/>
          <w:right w:val="nil"/>
          <w:between w:val="nil"/>
        </w:pBdr>
        <w:spacing w:line="276" w:lineRule="auto"/>
        <w:rPr>
          <w:rFonts w:ascii="Arial" w:eastAsia="Arial" w:hAnsi="Arial" w:cs="Arial"/>
          <w:color w:val="000000"/>
        </w:rPr>
      </w:pPr>
    </w:p>
    <w:p w:rsidR="00AE1FE7" w:rsidRDefault="001E48E9">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Palau, 18</w:t>
      </w:r>
      <w:bookmarkStart w:id="0" w:name="_GoBack"/>
      <w:bookmarkEnd w:id="0"/>
      <w:r>
        <w:rPr>
          <w:rFonts w:ascii="Arial" w:eastAsia="Arial" w:hAnsi="Arial" w:cs="Arial"/>
          <w:color w:val="000000"/>
        </w:rPr>
        <w:t>/03/2021</w:t>
      </w:r>
    </w:p>
    <w:p w:rsidR="00AE1FE7" w:rsidRDefault="001E48E9">
      <w:pPr>
        <w:pBdr>
          <w:top w:val="nil"/>
          <w:left w:val="nil"/>
          <w:bottom w:val="nil"/>
          <w:right w:val="nil"/>
          <w:between w:val="nil"/>
        </w:pBdr>
        <w:ind w:left="2977"/>
        <w:jc w:val="center"/>
        <w:rPr>
          <w:rFonts w:ascii="Arial" w:eastAsia="Arial" w:hAnsi="Arial" w:cs="Arial"/>
          <w:color w:val="000000"/>
        </w:rPr>
      </w:pPr>
      <w:r>
        <w:rPr>
          <w:rFonts w:ascii="Arial" w:eastAsia="Arial" w:hAnsi="Arial" w:cs="Arial"/>
          <w:color w:val="000000"/>
        </w:rPr>
        <w:t>Il presidente della commissione esaminatrice</w:t>
      </w:r>
    </w:p>
    <w:p w:rsidR="00AE1FE7" w:rsidRDefault="00AE1FE7">
      <w:pPr>
        <w:pBdr>
          <w:top w:val="nil"/>
          <w:left w:val="nil"/>
          <w:bottom w:val="nil"/>
          <w:right w:val="nil"/>
          <w:between w:val="nil"/>
        </w:pBdr>
        <w:ind w:left="2977"/>
        <w:jc w:val="center"/>
        <w:rPr>
          <w:rFonts w:ascii="Arial" w:eastAsia="Arial" w:hAnsi="Arial" w:cs="Arial"/>
          <w:color w:val="000000"/>
        </w:rPr>
      </w:pPr>
    </w:p>
    <w:p w:rsidR="00AE1FE7" w:rsidRDefault="001E48E9">
      <w:pPr>
        <w:pBdr>
          <w:top w:val="nil"/>
          <w:left w:val="nil"/>
          <w:bottom w:val="nil"/>
          <w:right w:val="nil"/>
          <w:between w:val="nil"/>
        </w:pBdr>
        <w:tabs>
          <w:tab w:val="left" w:pos="6840"/>
        </w:tabs>
        <w:ind w:left="2977"/>
        <w:jc w:val="center"/>
        <w:rPr>
          <w:rFonts w:ascii="Arial" w:eastAsia="Arial" w:hAnsi="Arial" w:cs="Arial"/>
          <w:color w:val="000000"/>
        </w:rPr>
      </w:pPr>
      <w:r>
        <w:rPr>
          <w:rFonts w:ascii="Arial" w:eastAsia="Arial" w:hAnsi="Arial" w:cs="Arial"/>
          <w:color w:val="000000"/>
        </w:rPr>
        <w:t>Dr.ssa Anna Bonu</w:t>
      </w:r>
    </w:p>
    <w:sectPr w:rsidR="00AE1FE7">
      <w:headerReference w:type="default" r:id="rId7"/>
      <w:footerReference w:type="default" r:id="rId8"/>
      <w:pgSz w:w="11906" w:h="16838"/>
      <w:pgMar w:top="3544" w:right="1134" w:bottom="1560" w:left="1134" w:header="568" w:footer="60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1E48E9">
      <w:r>
        <w:separator/>
      </w:r>
    </w:p>
  </w:endnote>
  <w:endnote w:type="continuationSeparator" w:id="0">
    <w:p w:rsidR="00000000" w:rsidRDefault="001E4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1FE7" w:rsidRDefault="001E48E9">
    <w:pPr>
      <w:pBdr>
        <w:top w:val="single" w:sz="4" w:space="1" w:color="000000"/>
        <w:left w:val="nil"/>
        <w:bottom w:val="nil"/>
        <w:right w:val="nil"/>
        <w:between w:val="nil"/>
      </w:pBdr>
      <w:tabs>
        <w:tab w:val="center" w:pos="4819"/>
        <w:tab w:val="right" w:pos="9638"/>
      </w:tabs>
      <w:rPr>
        <w:rFonts w:ascii="Arial" w:eastAsia="Arial" w:hAnsi="Arial" w:cs="Arial"/>
        <w:color w:val="000000"/>
        <w:sz w:val="16"/>
        <w:szCs w:val="16"/>
      </w:rPr>
    </w:pPr>
    <w:r>
      <w:rPr>
        <w:color w:val="000000"/>
        <w:sz w:val="16"/>
        <w:szCs w:val="16"/>
      </w:rPr>
      <w:tab/>
    </w:r>
    <w:r>
      <w:rPr>
        <w:color w:val="000000"/>
        <w:sz w:val="16"/>
        <w:szCs w:val="16"/>
      </w:rPr>
      <w:tab/>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1E48E9">
      <w:r>
        <w:separator/>
      </w:r>
    </w:p>
  </w:footnote>
  <w:footnote w:type="continuationSeparator" w:id="0">
    <w:p w:rsidR="00000000" w:rsidRDefault="001E48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1FE7" w:rsidRDefault="001E48E9">
    <w:pPr>
      <w:widowControl w:val="0"/>
      <w:pBdr>
        <w:top w:val="nil"/>
        <w:left w:val="nil"/>
        <w:bottom w:val="single" w:sz="4" w:space="1" w:color="000000"/>
        <w:right w:val="nil"/>
        <w:between w:val="nil"/>
      </w:pBdr>
      <w:jc w:val="center"/>
      <w:rPr>
        <w:rFonts w:ascii="Arial" w:eastAsia="Arial" w:hAnsi="Arial" w:cs="Arial"/>
        <w:color w:val="000000"/>
        <w:sz w:val="24"/>
        <w:szCs w:val="24"/>
      </w:rPr>
    </w:pPr>
    <w:r>
      <w:rPr>
        <w:rFonts w:ascii="Arial" w:eastAsia="Arial" w:hAnsi="Arial" w:cs="Arial"/>
        <w:noProof/>
        <w:color w:val="000000"/>
        <w:sz w:val="24"/>
        <w:szCs w:val="24"/>
      </w:rPr>
      <w:drawing>
        <wp:inline distT="0" distB="0" distL="114300" distR="114300">
          <wp:extent cx="1677670" cy="608965"/>
          <wp:effectExtent l="0" t="0" r="0" b="0"/>
          <wp:docPr id="1" name="image1.png" descr="ufficio01"/>
          <wp:cNvGraphicFramePr/>
          <a:graphic xmlns:a="http://schemas.openxmlformats.org/drawingml/2006/main">
            <a:graphicData uri="http://schemas.openxmlformats.org/drawingml/2006/picture">
              <pic:pic xmlns:pic="http://schemas.openxmlformats.org/drawingml/2006/picture">
                <pic:nvPicPr>
                  <pic:cNvPr id="0" name="image1.png" descr="ufficio01"/>
                  <pic:cNvPicPr preferRelativeResize="0"/>
                </pic:nvPicPr>
                <pic:blipFill>
                  <a:blip r:embed="rId1"/>
                  <a:srcRect/>
                  <a:stretch>
                    <a:fillRect/>
                  </a:stretch>
                </pic:blipFill>
                <pic:spPr>
                  <a:xfrm>
                    <a:off x="0" y="0"/>
                    <a:ext cx="1677670" cy="608965"/>
                  </a:xfrm>
                  <a:prstGeom prst="rect">
                    <a:avLst/>
                  </a:prstGeom>
                  <a:ln/>
                </pic:spPr>
              </pic:pic>
            </a:graphicData>
          </a:graphic>
        </wp:inline>
      </w:drawing>
    </w:r>
    <w:r>
      <w:rPr>
        <w:noProof/>
      </w:rPr>
      <w:drawing>
        <wp:anchor distT="0" distB="0" distL="114300" distR="114300" simplePos="0" relativeHeight="251658240" behindDoc="0" locked="0" layoutInCell="1" hidden="0" allowOverlap="1">
          <wp:simplePos x="0" y="0"/>
          <wp:positionH relativeFrom="column">
            <wp:posOffset>114300</wp:posOffset>
          </wp:positionH>
          <wp:positionV relativeFrom="paragraph">
            <wp:posOffset>0</wp:posOffset>
          </wp:positionV>
          <wp:extent cx="624840" cy="91440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624840" cy="914400"/>
                  </a:xfrm>
                  <a:prstGeom prst="rect">
                    <a:avLst/>
                  </a:prstGeom>
                  <a:ln/>
                </pic:spPr>
              </pic:pic>
            </a:graphicData>
          </a:graphic>
        </wp:anchor>
      </w:drawing>
    </w:r>
  </w:p>
  <w:p w:rsidR="00AE1FE7" w:rsidRDefault="001E48E9">
    <w:pPr>
      <w:widowControl w:val="0"/>
      <w:pBdr>
        <w:top w:val="nil"/>
        <w:left w:val="nil"/>
        <w:bottom w:val="single" w:sz="4" w:space="1" w:color="000000"/>
        <w:right w:val="nil"/>
        <w:between w:val="nil"/>
      </w:pBdr>
      <w:jc w:val="center"/>
      <w:rPr>
        <w:rFonts w:ascii="Arial" w:eastAsia="Arial" w:hAnsi="Arial" w:cs="Arial"/>
        <w:color w:val="000000"/>
        <w:sz w:val="16"/>
        <w:szCs w:val="16"/>
      </w:rPr>
    </w:pPr>
    <w:r>
      <w:rPr>
        <w:rFonts w:ascii="Arial" w:eastAsia="Arial" w:hAnsi="Arial" w:cs="Arial"/>
        <w:color w:val="000000"/>
        <w:sz w:val="16"/>
        <w:szCs w:val="16"/>
      </w:rPr>
      <w:t>Piazza Popoli d’Europa, 1 - 07020 Palau (SS)</w:t>
    </w:r>
  </w:p>
  <w:p w:rsidR="00AE1FE7" w:rsidRDefault="001E48E9">
    <w:pPr>
      <w:widowControl w:val="0"/>
      <w:pBdr>
        <w:top w:val="nil"/>
        <w:left w:val="nil"/>
        <w:bottom w:val="single" w:sz="4" w:space="1" w:color="000000"/>
        <w:right w:val="nil"/>
        <w:between w:val="nil"/>
      </w:pBdr>
      <w:spacing w:after="240"/>
      <w:jc w:val="center"/>
      <w:rPr>
        <w:rFonts w:ascii="Arial" w:eastAsia="Arial" w:hAnsi="Arial" w:cs="Arial"/>
        <w:color w:val="000000"/>
        <w:sz w:val="16"/>
        <w:szCs w:val="16"/>
      </w:rPr>
    </w:pPr>
    <w:r>
      <w:rPr>
        <w:rFonts w:ascii="Arial" w:eastAsia="Arial" w:hAnsi="Arial" w:cs="Arial"/>
        <w:color w:val="000000"/>
        <w:sz w:val="16"/>
        <w:szCs w:val="16"/>
      </w:rPr>
      <w:t>www.palau.it - protocollo@pec.palau.it</w:t>
    </w:r>
  </w:p>
  <w:p w:rsidR="00AE1FE7" w:rsidRDefault="00AE1FE7">
    <w:pPr>
      <w:widowControl w:val="0"/>
      <w:pBdr>
        <w:top w:val="nil"/>
        <w:left w:val="nil"/>
        <w:bottom w:val="single" w:sz="4" w:space="1" w:color="000000"/>
        <w:right w:val="nil"/>
        <w:between w:val="nil"/>
      </w:pBdr>
      <w:spacing w:after="240"/>
      <w:jc w:val="center"/>
      <w:rPr>
        <w:rFonts w:ascii="Arial" w:eastAsia="Arial" w:hAnsi="Arial" w:cs="Arial"/>
        <w:color w:val="000000"/>
        <w:sz w:val="16"/>
        <w:szCs w:val="16"/>
      </w:rPr>
    </w:pPr>
  </w:p>
  <w:p w:rsidR="00AE1FE7" w:rsidRDefault="001E48E9">
    <w:pPr>
      <w:keepNext/>
      <w:pBdr>
        <w:top w:val="nil"/>
        <w:left w:val="nil"/>
        <w:bottom w:val="nil"/>
        <w:right w:val="nil"/>
        <w:between w:val="nil"/>
      </w:pBdr>
      <w:spacing w:before="240"/>
      <w:ind w:left="576" w:hanging="576"/>
      <w:rPr>
        <w:rFonts w:ascii="Arial" w:eastAsia="Arial" w:hAnsi="Arial" w:cs="Arial"/>
        <w:color w:val="000000"/>
        <w:sz w:val="16"/>
        <w:szCs w:val="16"/>
      </w:rPr>
    </w:pPr>
    <w:r>
      <w:rPr>
        <w:rFonts w:ascii="Arial" w:eastAsia="Arial" w:hAnsi="Arial" w:cs="Arial"/>
        <w:color w:val="000000"/>
        <w:sz w:val="16"/>
        <w:szCs w:val="16"/>
      </w:rPr>
      <w:t>SETTORE VIGILANZA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614E5"/>
    <w:multiLevelType w:val="multilevel"/>
    <w:tmpl w:val="ADE225D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207E2F91"/>
    <w:multiLevelType w:val="multilevel"/>
    <w:tmpl w:val="0E50694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E7"/>
    <w:rsid w:val="001E48E9"/>
    <w:rsid w:val="00AE1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94D0"/>
  <w15:docId w15:val="{8A4A61A9-614E-43CB-AEAA-8B543DD3F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818</Words>
  <Characters>4669</Characters>
  <Application>Microsoft Office Word</Application>
  <DocSecurity>0</DocSecurity>
  <Lines>38</Lines>
  <Paragraphs>10</Paragraphs>
  <ScaleCrop>false</ScaleCrop>
  <Company/>
  <LinksUpToDate>false</LinksUpToDate>
  <CharactersWithSpaces>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Walter Nieddu</cp:lastModifiedBy>
  <cp:revision>2</cp:revision>
  <dcterms:created xsi:type="dcterms:W3CDTF">2021-03-18T07:22:00Z</dcterms:created>
  <dcterms:modified xsi:type="dcterms:W3CDTF">2021-03-18T07:23:00Z</dcterms:modified>
</cp:coreProperties>
</file>